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关于省级政府采购协议供货制度改革有关事项的通知</w:t>
      </w:r>
    </w:p>
    <w:p>
      <w:pPr>
        <w:jc w:val="center"/>
        <w:rPr>
          <w:rFonts w:asciiTheme="minorEastAsia" w:hAnsiTheme="minorEastAsia"/>
          <w:b/>
          <w:color w:val="000000" w:themeColor="text1"/>
          <w:sz w:val="24"/>
          <w:szCs w:val="24"/>
          <w14:textFill>
            <w14:solidFill>
              <w14:schemeClr w14:val="tx1"/>
            </w14:solidFill>
          </w14:textFill>
        </w:rPr>
      </w:pPr>
      <w:bookmarkStart w:id="0" w:name="_GoBack"/>
      <w:bookmarkEnd w:id="0"/>
    </w:p>
    <w:p>
      <w:pPr>
        <w:jc w:val="center"/>
        <w:rPr>
          <w:rFonts w:asciiTheme="minorEastAsia" w:hAnsiTheme="minorEastAsia"/>
          <w:b/>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粤财采购〔2015〕15号</w:t>
      </w:r>
    </w:p>
    <w:p>
      <w:pPr>
        <w:jc w:val="center"/>
        <w:rPr>
          <w:rFonts w:asciiTheme="minorEastAsia" w:hAnsiTheme="minorEastAsia"/>
          <w:b/>
          <w:color w:val="000000" w:themeColor="text1"/>
          <w:sz w:val="24"/>
          <w:szCs w:val="24"/>
          <w14:textFill>
            <w14:solidFill>
              <w14:schemeClr w14:val="tx1"/>
            </w14:solidFill>
          </w14:textFill>
        </w:rPr>
      </w:pP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省直各单位，省政府采购中心：</w:t>
      </w:r>
    </w:p>
    <w:p>
      <w:pPr>
        <w:widowControl/>
        <w:shd w:val="clear" w:color="auto" w:fill="F8FCFF"/>
        <w:spacing w:before="100" w:beforeAutospacing="1" w:after="100" w:afterAutospacing="1"/>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为贯彻落实《中华人民共和国政府采购法实施条例》，进一步加强采购需求管理，规范采购行为，实现物有所值的目标，现就省级政府采购协议供货制度改革有关事项通知如下：</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一、改革原则</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以“公开透明、标准清晰、公平竞争、高效便捷”为原则，建立健全统一的采购需求标准体系，完善市场交易规则，对原政府采购协议供货范围内的通用类货物和服务项目按需求特性实施分类管理并适用不同的采购模式，多渠道满足采购单位的实际需求，落实政府采购节能环保等政策功能，实现通用类项目的标准化和电子化采购，降低采购成本，提高采购效率和透明度。</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二、采购模式和适用范围</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除保留原协议供货制度的协议定点采购模式外，增加批量集中采购、电商直购和网上竞价等3种采购模式，适用范围为原协议供货范围。具体如下：</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（一）批量集中采购。</w:t>
      </w:r>
      <w:r>
        <w:rPr>
          <w:rFonts w:hint="eastAsia" w:cs="宋体" w:asciiTheme="minorEastAsia" w:hAnsiTheme="minorEastAsia"/>
          <w:color w:val="000000"/>
          <w:kern w:val="0"/>
          <w:sz w:val="24"/>
          <w:szCs w:val="24"/>
        </w:rPr>
        <w:t>对技术标准统一，采购数量易于归集且基本满足采购单位日常工作需要的货物项目实行批量集中采购。省财政厅统一确定基本需求配置标准，定期归集采购单位的采购数量后由省政府采购中心统一组织采购。</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适用范围：</w:t>
      </w:r>
      <w:r>
        <w:rPr>
          <w:rFonts w:hint="eastAsia" w:cs="宋体" w:asciiTheme="minorEastAsia" w:hAnsiTheme="minorEastAsia"/>
          <w:color w:val="000000"/>
          <w:kern w:val="0"/>
          <w:sz w:val="24"/>
          <w:szCs w:val="24"/>
        </w:rPr>
        <w:t>台式计算机、便携式计算机、A4激光打印机和空调机等4个品目。</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（二）电商直购。</w:t>
      </w:r>
      <w:r>
        <w:rPr>
          <w:rFonts w:hint="eastAsia" w:cs="宋体" w:asciiTheme="minorEastAsia" w:hAnsiTheme="minorEastAsia"/>
          <w:color w:val="000000"/>
          <w:kern w:val="0"/>
          <w:sz w:val="24"/>
          <w:szCs w:val="24"/>
        </w:rPr>
        <w:t>对与大众消费市场采购需求基本一致且基本满足采购单位日   常工作需要的货物项目实行电商直购。采购单位应通过“广东省电子政府采购管理交易平台”的网上商城系统直接选购商品。</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适用范围：</w:t>
      </w:r>
      <w:r>
        <w:rPr>
          <w:rFonts w:hint="eastAsia" w:cs="宋体" w:asciiTheme="minorEastAsia" w:hAnsiTheme="minorEastAsia"/>
          <w:color w:val="000000"/>
          <w:kern w:val="0"/>
          <w:sz w:val="24"/>
          <w:szCs w:val="24"/>
        </w:rPr>
        <w:t>空调机、路由器、网络配套设备、多功能一体机、碎纸机、传真机、台式计算机显示器、电视机、电冰箱、摄影摄像器材、办公用纸和办公自动化设备耗材等12个品目。</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（三）网上竞价。</w:t>
      </w:r>
      <w:r>
        <w:rPr>
          <w:rFonts w:hint="eastAsia" w:cs="宋体" w:asciiTheme="minorEastAsia" w:hAnsiTheme="minorEastAsia"/>
          <w:color w:val="000000"/>
          <w:kern w:val="0"/>
          <w:sz w:val="24"/>
          <w:szCs w:val="24"/>
        </w:rPr>
        <w:t>对核心技术参数固定但采购需求相对多样化的货物项目实行网上竞价。采购单位应通过“广东省电子政府采购管理交易平台”的网上竞价系统进行竞价采购。</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适用范围：</w:t>
      </w:r>
      <w:r>
        <w:rPr>
          <w:rFonts w:hint="eastAsia" w:cs="宋体" w:asciiTheme="minorEastAsia" w:hAnsiTheme="minorEastAsia"/>
          <w:color w:val="000000"/>
          <w:kern w:val="0"/>
          <w:sz w:val="24"/>
          <w:szCs w:val="24"/>
        </w:rPr>
        <w:t>台式计算机、便携式计算机、服务器、A4激光打印机、A3激光打印机、喷墨打印机、针式打印机、复印机、速印机、交换机、投影仪和扫描仪等12个品目。</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（四）协议定点采购。</w:t>
      </w:r>
      <w:r>
        <w:rPr>
          <w:rFonts w:hint="eastAsia" w:cs="宋体" w:asciiTheme="minorEastAsia" w:hAnsiTheme="minorEastAsia"/>
          <w:color w:val="000000"/>
          <w:kern w:val="0"/>
          <w:sz w:val="24"/>
          <w:szCs w:val="24"/>
        </w:rPr>
        <w:t>对原协议供货范围除上述以外的其他项目继续实行协议定点采购。采购单位应通过“广东省电子政府采购管理交易平台”的协议采购系统进行订购或竞价。</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适用范围：</w:t>
      </w:r>
      <w:r>
        <w:rPr>
          <w:rFonts w:hint="eastAsia" w:cs="宋体" w:asciiTheme="minorEastAsia" w:hAnsiTheme="minorEastAsia"/>
          <w:color w:val="000000"/>
          <w:kern w:val="0"/>
          <w:sz w:val="24"/>
          <w:szCs w:val="24"/>
        </w:rPr>
        <w:t>计算机通用软件、通用交通工具、电梯、印刷服务、车辆维修服务和车辆保险服务等6个品目。</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省财政厅将根据改革实际情况，对各采购模式的适用范围进行调整。</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三、有关衔接</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（一）对纳入批量集中采购范围的品目，预算主管部门可制定本部门统一执行的需求配置标准，按批量集中采购相关规定执行。</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（二）为满足日常零星、小额采购需要，对纳入批量集中采购范围的品目，采购单位可选择电商直购或网上竞价采购模式。</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四、其他</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（一）批量集中采购、电商直购、网上竞价、协议定点采购的有关执行规定另行发文通知。</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（二）各地级以上市财政部门可按照省的做法，结合本地实际，积极推进协议供货制度改革，研究制定相关配套管理办法。</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（三）2015年度省级批量集中采购、电商直购、网上竞价和协议定点采购的适用范围按《2015年度省级通用类采购项目分类表》（详见附件）执行。</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（四）自本通知印发之日起，《关于广东省省级通用类货物政府采购管理有关改革事项的通知》（粤财采购〔2014〕14号）同时废止。</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附件：2015年度省级通用类采购项目分类表</w:t>
      </w: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p>
    <w:p>
      <w:pPr>
        <w:widowControl/>
        <w:shd w:val="clear" w:color="auto" w:fill="F8FCFF"/>
        <w:spacing w:before="100" w:beforeAutospacing="1" w:after="100" w:afterAutospacing="1"/>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广东省财政厅</w:t>
      </w:r>
    </w:p>
    <w:p>
      <w:pPr>
        <w:widowControl/>
        <w:shd w:val="clear" w:color="auto" w:fill="F8FCFF"/>
        <w:spacing w:before="100" w:beforeAutospacing="1" w:after="100" w:afterAutospacing="1"/>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2015年8月13日</w:t>
      </w:r>
    </w:p>
    <w:p>
      <w:pPr>
        <w:widowControl/>
        <w:shd w:val="clear" w:color="auto" w:fill="F8FCFF"/>
        <w:spacing w:before="100" w:beforeAutospacing="1" w:after="100" w:afterAutospacing="1"/>
        <w:jc w:val="left"/>
        <w:rPr>
          <w:rFonts w:ascii="宋体" w:hAnsi="宋体" w:eastAsia="宋体" w:cs="宋体"/>
          <w:color w:val="000000"/>
          <w:kern w:val="0"/>
          <w:sz w:val="30"/>
          <w:szCs w:val="30"/>
        </w:rPr>
      </w:pPr>
    </w:p>
    <w:p>
      <w:pPr>
        <w:widowControl/>
        <w:shd w:val="clear" w:color="auto" w:fill="F8FCFF"/>
        <w:spacing w:before="100" w:beforeAutospacing="1" w:after="100" w:afterAutospacing="1"/>
        <w:jc w:val="left"/>
        <w:rPr>
          <w:rFonts w:ascii="宋体" w:hAnsi="宋体" w:eastAsia="宋体" w:cs="宋体"/>
          <w:color w:val="000000"/>
          <w:kern w:val="0"/>
          <w:sz w:val="30"/>
          <w:szCs w:val="30"/>
        </w:rPr>
      </w:pPr>
    </w:p>
    <w:p>
      <w:pPr>
        <w:widowControl/>
        <w:shd w:val="clear" w:color="auto" w:fill="F8FCFF"/>
        <w:spacing w:before="100" w:beforeAutospacing="1" w:after="100" w:afterAutospacing="1"/>
        <w:jc w:val="left"/>
        <w:rPr>
          <w:rFonts w:ascii="宋体" w:hAnsi="宋体" w:eastAsia="宋体" w:cs="宋体"/>
          <w:color w:val="000000"/>
          <w:kern w:val="0"/>
          <w:sz w:val="30"/>
          <w:szCs w:val="30"/>
        </w:rPr>
      </w:pPr>
    </w:p>
    <w:p>
      <w:pPr>
        <w:widowControl/>
        <w:shd w:val="clear" w:color="auto" w:fill="F8FCFF"/>
        <w:spacing w:before="100" w:beforeAutospacing="1" w:after="100" w:afterAutospacing="1"/>
        <w:jc w:val="left"/>
        <w:rPr>
          <w:rFonts w:ascii="宋体" w:hAnsi="宋体" w:eastAsia="宋体" w:cs="宋体"/>
          <w:color w:val="000000"/>
          <w:kern w:val="0"/>
          <w:sz w:val="30"/>
          <w:szCs w:val="30"/>
        </w:rPr>
      </w:pP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p>
    <w:p>
      <w:pPr>
        <w:widowControl/>
        <w:shd w:val="clear" w:color="auto" w:fill="F8FCFF"/>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附件：</w:t>
      </w:r>
    </w:p>
    <w:p>
      <w:pPr>
        <w:widowControl/>
        <w:shd w:val="clear" w:color="auto" w:fill="F8FCFF"/>
        <w:spacing w:before="100" w:beforeAutospacing="1" w:after="100" w:afterAutospacing="1"/>
        <w:jc w:val="center"/>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2015年度省级通用类采购项目分类表</w:t>
      </w:r>
      <w:r>
        <w:rPr>
          <w:rFonts w:cs="宋体" w:asciiTheme="minorEastAsia" w:hAnsiTheme="minorEastAsia"/>
          <w:color w:val="000000"/>
          <w:kern w:val="0"/>
          <w:sz w:val="24"/>
          <w:szCs w:val="24"/>
        </w:rPr>
        <w:t> </w:t>
      </w:r>
    </w:p>
    <w:tbl>
      <w:tblPr>
        <w:tblStyle w:val="3"/>
        <w:tblW w:w="7776"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25"/>
        <w:gridCol w:w="2128"/>
        <w:gridCol w:w="2128"/>
        <w:gridCol w:w="19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4" w:hRule="atLeast"/>
          <w:tblCellSpacing w:w="0" w:type="dxa"/>
          <w:jc w:val="center"/>
        </w:trPr>
        <w:tc>
          <w:tcPr>
            <w:tcW w:w="152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b/>
                <w:bCs/>
                <w:kern w:val="0"/>
                <w:sz w:val="24"/>
                <w:szCs w:val="24"/>
              </w:rPr>
              <w:t>采购模式</w:t>
            </w: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b/>
                <w:bCs/>
                <w:kern w:val="0"/>
                <w:sz w:val="24"/>
                <w:szCs w:val="24"/>
              </w:rPr>
              <w:t>适用范围及品目名称</w:t>
            </w: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b/>
                <w:bCs/>
                <w:kern w:val="0"/>
                <w:sz w:val="24"/>
                <w:szCs w:val="24"/>
              </w:rPr>
              <w:t>采购标准</w:t>
            </w:r>
          </w:p>
        </w:tc>
        <w:tc>
          <w:tcPr>
            <w:tcW w:w="199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b/>
                <w:bCs/>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44" w:hRule="atLeast"/>
          <w:tblCellSpacing w:w="0" w:type="dxa"/>
          <w:jc w:val="center"/>
        </w:trPr>
        <w:tc>
          <w:tcPr>
            <w:tcW w:w="152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kern w:val="0"/>
                <w:sz w:val="24"/>
                <w:szCs w:val="24"/>
              </w:rPr>
              <w:t>批量集中采购</w:t>
            </w: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cs="宋体" w:asciiTheme="minorEastAsia" w:hAnsiTheme="minorEastAsia"/>
                <w:kern w:val="0"/>
                <w:sz w:val="24"/>
                <w:szCs w:val="24"/>
              </w:rPr>
            </w:pPr>
            <w:r>
              <w:rPr>
                <w:rFonts w:hint="eastAsia" w:cs="宋体" w:asciiTheme="minorEastAsia" w:hAnsiTheme="minorEastAsia"/>
                <w:kern w:val="0"/>
                <w:sz w:val="24"/>
                <w:szCs w:val="24"/>
              </w:rPr>
              <w:t>台式计算机、便携式计算机、A4激光打印机、空调机</w:t>
            </w: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kern w:val="0"/>
                <w:sz w:val="24"/>
                <w:szCs w:val="24"/>
              </w:rPr>
              <w:t>——</w:t>
            </w:r>
          </w:p>
        </w:tc>
        <w:tc>
          <w:tcPr>
            <w:tcW w:w="199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39" w:hRule="atLeast"/>
          <w:tblCellSpacing w:w="0" w:type="dxa"/>
          <w:jc w:val="center"/>
        </w:trPr>
        <w:tc>
          <w:tcPr>
            <w:tcW w:w="1525" w:type="dxa"/>
            <w:vMerge w:val="restar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kern w:val="0"/>
                <w:sz w:val="24"/>
                <w:szCs w:val="24"/>
              </w:rPr>
              <w:t>电商直购  </w:t>
            </w: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kern w:val="0"/>
                <w:sz w:val="24"/>
                <w:szCs w:val="24"/>
              </w:rPr>
              <w:t>空调机</w:t>
            </w: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cs="宋体" w:asciiTheme="minorEastAsia" w:hAnsiTheme="minorEastAsia"/>
                <w:kern w:val="0"/>
                <w:sz w:val="24"/>
                <w:szCs w:val="24"/>
              </w:rPr>
            </w:pPr>
            <w:r>
              <w:rPr>
                <w:rFonts w:hint="eastAsia" w:cs="宋体" w:asciiTheme="minorEastAsia" w:hAnsiTheme="minorEastAsia"/>
                <w:kern w:val="0"/>
                <w:sz w:val="24"/>
                <w:szCs w:val="24"/>
              </w:rPr>
              <w:t>同一品目单次采购5万元以下,年度累计采购金额20万元以下</w:t>
            </w:r>
          </w:p>
        </w:tc>
        <w:tc>
          <w:tcPr>
            <w:tcW w:w="199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kern w:val="0"/>
                <w:sz w:val="24"/>
                <w:szCs w:val="24"/>
              </w:rPr>
              <w:t>可选择批量集中采购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162" w:hRule="atLeast"/>
          <w:tblCellSpacing w:w="0" w:type="dxa"/>
          <w:jc w:val="center"/>
        </w:trPr>
        <w:tc>
          <w:tcPr>
            <w:tcW w:w="152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EastAsia" w:hAnsiTheme="minorEastAsia"/>
                <w:kern w:val="0"/>
                <w:sz w:val="24"/>
                <w:szCs w:val="24"/>
              </w:rPr>
            </w:pP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cs="宋体" w:asciiTheme="minorEastAsia" w:hAnsiTheme="minorEastAsia"/>
                <w:kern w:val="0"/>
                <w:sz w:val="24"/>
                <w:szCs w:val="24"/>
              </w:rPr>
            </w:pPr>
            <w:r>
              <w:rPr>
                <w:rFonts w:hint="eastAsia" w:cs="宋体" w:asciiTheme="minorEastAsia" w:hAnsiTheme="minorEastAsia"/>
                <w:kern w:val="0"/>
                <w:sz w:val="24"/>
                <w:szCs w:val="24"/>
              </w:rPr>
              <w:t>路由器、网络配套设备、多功能一体机、碎纸机、传真机、台式计算机显示器、电视机、电冰箱、摄影摄像器材、办公用纸、办公自动化设备耗材</w:t>
            </w: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cs="宋体" w:asciiTheme="minorEastAsia" w:hAnsiTheme="minorEastAsia"/>
                <w:kern w:val="0"/>
                <w:sz w:val="24"/>
                <w:szCs w:val="24"/>
              </w:rPr>
            </w:pPr>
            <w:r>
              <w:rPr>
                <w:rFonts w:hint="eastAsia" w:cs="宋体" w:asciiTheme="minorEastAsia" w:hAnsiTheme="minorEastAsia"/>
                <w:kern w:val="0"/>
                <w:sz w:val="24"/>
                <w:szCs w:val="24"/>
              </w:rPr>
              <w:t>同一品目单次采购金额80万元以下</w:t>
            </w:r>
          </w:p>
        </w:tc>
        <w:tc>
          <w:tcPr>
            <w:tcW w:w="199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15" w:hRule="atLeast"/>
          <w:tblCellSpacing w:w="0" w:type="dxa"/>
          <w:jc w:val="center"/>
        </w:trPr>
        <w:tc>
          <w:tcPr>
            <w:tcW w:w="1525" w:type="dxa"/>
            <w:vMerge w:val="restar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kern w:val="0"/>
                <w:sz w:val="24"/>
                <w:szCs w:val="24"/>
              </w:rPr>
              <w:t>网上竞价  </w:t>
            </w: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cs="宋体" w:asciiTheme="minorEastAsia" w:hAnsiTheme="minorEastAsia"/>
                <w:kern w:val="0"/>
                <w:sz w:val="24"/>
                <w:szCs w:val="24"/>
              </w:rPr>
            </w:pPr>
            <w:r>
              <w:rPr>
                <w:rFonts w:hint="eastAsia" w:cs="宋体" w:asciiTheme="minorEastAsia" w:hAnsiTheme="minorEastAsia"/>
                <w:kern w:val="0"/>
                <w:sz w:val="24"/>
                <w:szCs w:val="24"/>
              </w:rPr>
              <w:t>台式计算机、便携式计算机、A4激光打印机</w:t>
            </w: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cs="宋体" w:asciiTheme="minorEastAsia" w:hAnsiTheme="minorEastAsia"/>
                <w:kern w:val="0"/>
                <w:sz w:val="24"/>
                <w:szCs w:val="24"/>
              </w:rPr>
            </w:pPr>
            <w:r>
              <w:rPr>
                <w:rFonts w:hint="eastAsia" w:cs="宋体" w:asciiTheme="minorEastAsia" w:hAnsiTheme="minorEastAsia"/>
                <w:kern w:val="0"/>
                <w:sz w:val="24"/>
                <w:szCs w:val="24"/>
              </w:rPr>
              <w:t>同一品目单次采购5万元以下,年度累计采购金额20万元以下</w:t>
            </w:r>
          </w:p>
        </w:tc>
        <w:tc>
          <w:tcPr>
            <w:tcW w:w="199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kern w:val="0"/>
                <w:sz w:val="24"/>
                <w:szCs w:val="24"/>
              </w:rPr>
              <w:t>可选择批量集中采购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538" w:hRule="atLeast"/>
          <w:tblCellSpacing w:w="0" w:type="dxa"/>
          <w:jc w:val="center"/>
        </w:trPr>
        <w:tc>
          <w:tcPr>
            <w:tcW w:w="152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EastAsia" w:hAnsiTheme="minorEastAsia"/>
                <w:kern w:val="0"/>
                <w:sz w:val="24"/>
                <w:szCs w:val="24"/>
              </w:rPr>
            </w:pP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cs="宋体" w:asciiTheme="minorEastAsia" w:hAnsiTheme="minorEastAsia"/>
                <w:kern w:val="0"/>
                <w:sz w:val="24"/>
                <w:szCs w:val="24"/>
              </w:rPr>
            </w:pPr>
            <w:r>
              <w:rPr>
                <w:rFonts w:hint="eastAsia" w:cs="宋体" w:asciiTheme="minorEastAsia" w:hAnsiTheme="minorEastAsia"/>
                <w:kern w:val="0"/>
                <w:sz w:val="24"/>
                <w:szCs w:val="24"/>
              </w:rPr>
              <w:t>服务器、A3激光打印机、喷墨打印机、针式打印机、复印机、速印机、交换机、投影仪、扫描仪</w:t>
            </w: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cs="宋体" w:asciiTheme="minorEastAsia" w:hAnsiTheme="minorEastAsia"/>
                <w:kern w:val="0"/>
                <w:sz w:val="24"/>
                <w:szCs w:val="24"/>
              </w:rPr>
            </w:pPr>
            <w:r>
              <w:rPr>
                <w:rFonts w:hint="eastAsia" w:cs="宋体" w:asciiTheme="minorEastAsia" w:hAnsiTheme="minorEastAsia"/>
                <w:kern w:val="0"/>
                <w:sz w:val="24"/>
                <w:szCs w:val="24"/>
              </w:rPr>
              <w:t>同一品目单次采购金额1万元（含1万元）以上，80万元以下</w:t>
            </w:r>
          </w:p>
        </w:tc>
        <w:tc>
          <w:tcPr>
            <w:tcW w:w="199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cs="宋体" w:asciiTheme="minorEastAsia" w:hAnsiTheme="minorEastAsia"/>
                <w:kern w:val="0"/>
                <w:sz w:val="24"/>
                <w:szCs w:val="24"/>
              </w:rPr>
            </w:pPr>
            <w:r>
              <w:rPr>
                <w:rFonts w:hint="eastAsia" w:cs="宋体" w:asciiTheme="minorEastAsia" w:hAnsiTheme="minorEastAsia"/>
                <w:kern w:val="0"/>
                <w:sz w:val="24"/>
                <w:szCs w:val="24"/>
              </w:rPr>
              <w:t>同一品目单次采购1万元以下的，自行采购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55" w:hRule="atLeast"/>
          <w:tblCellSpacing w:w="0" w:type="dxa"/>
          <w:jc w:val="center"/>
        </w:trPr>
        <w:tc>
          <w:tcPr>
            <w:tcW w:w="1525" w:type="dxa"/>
            <w:vMerge w:val="restar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kern w:val="0"/>
                <w:sz w:val="24"/>
                <w:szCs w:val="24"/>
              </w:rPr>
              <w:t>协议定点采购 </w:t>
            </w: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cs="宋体" w:asciiTheme="minorEastAsia" w:hAnsiTheme="minorEastAsia"/>
                <w:kern w:val="0"/>
                <w:sz w:val="24"/>
                <w:szCs w:val="24"/>
              </w:rPr>
            </w:pPr>
            <w:r>
              <w:rPr>
                <w:rFonts w:hint="eastAsia" w:cs="宋体" w:asciiTheme="minorEastAsia" w:hAnsiTheme="minorEastAsia"/>
                <w:kern w:val="0"/>
                <w:sz w:val="24"/>
                <w:szCs w:val="24"/>
              </w:rPr>
              <w:t>计算机通用软件、印刷服务、车辆维修服务、车辆保险服务</w:t>
            </w: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cs="宋体" w:asciiTheme="minorEastAsia" w:hAnsiTheme="minorEastAsia"/>
                <w:kern w:val="0"/>
                <w:sz w:val="24"/>
                <w:szCs w:val="24"/>
              </w:rPr>
            </w:pPr>
            <w:r>
              <w:rPr>
                <w:rFonts w:hint="eastAsia" w:cs="宋体" w:asciiTheme="minorEastAsia" w:hAnsiTheme="minorEastAsia"/>
                <w:kern w:val="0"/>
                <w:sz w:val="24"/>
                <w:szCs w:val="24"/>
              </w:rPr>
              <w:t>同一品目单次采购金额80万元以下</w:t>
            </w:r>
          </w:p>
        </w:tc>
        <w:tc>
          <w:tcPr>
            <w:tcW w:w="1995" w:type="dxa"/>
            <w:vMerge w:val="restar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cs="宋体" w:asciiTheme="minorEastAsia" w:hAnsiTheme="minorEastAsia"/>
                <w:kern w:val="0"/>
                <w:sz w:val="24"/>
                <w:szCs w:val="24"/>
              </w:rPr>
            </w:pPr>
            <w:r>
              <w:rPr>
                <w:rFonts w:hint="eastAsia" w:cs="宋体" w:asciiTheme="minorEastAsia" w:hAnsiTheme="minorEastAsia"/>
                <w:kern w:val="0"/>
                <w:sz w:val="24"/>
                <w:szCs w:val="24"/>
              </w:rPr>
              <w:t>按原协议供货规定执行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52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EastAsia" w:hAnsiTheme="minorEastAsia"/>
                <w:kern w:val="0"/>
                <w:sz w:val="24"/>
                <w:szCs w:val="24"/>
              </w:rPr>
            </w:pP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kern w:val="0"/>
                <w:sz w:val="24"/>
                <w:szCs w:val="24"/>
              </w:rPr>
              <w:t>通用交通工具</w:t>
            </w: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cs="宋体" w:asciiTheme="minorEastAsia" w:hAnsiTheme="minorEastAsia"/>
                <w:kern w:val="0"/>
                <w:sz w:val="24"/>
                <w:szCs w:val="24"/>
              </w:rPr>
            </w:pPr>
            <w:r>
              <w:rPr>
                <w:rFonts w:hint="eastAsia" w:cs="宋体" w:asciiTheme="minorEastAsia" w:hAnsiTheme="minorEastAsia"/>
                <w:kern w:val="0"/>
                <w:sz w:val="24"/>
                <w:szCs w:val="24"/>
              </w:rPr>
              <w:t>同一品目单次采购20台（含20台）以下</w:t>
            </w:r>
          </w:p>
        </w:tc>
        <w:tc>
          <w:tcPr>
            <w:tcW w:w="1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24" w:hRule="atLeast"/>
          <w:tblCellSpacing w:w="0" w:type="dxa"/>
          <w:jc w:val="center"/>
        </w:trPr>
        <w:tc>
          <w:tcPr>
            <w:tcW w:w="152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EastAsia" w:hAnsiTheme="minorEastAsia"/>
                <w:kern w:val="0"/>
                <w:sz w:val="24"/>
                <w:szCs w:val="24"/>
              </w:rPr>
            </w:pP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asciiTheme="minorEastAsia" w:hAnsiTheme="minorEastAsia"/>
                <w:kern w:val="0"/>
                <w:sz w:val="24"/>
                <w:szCs w:val="24"/>
              </w:rPr>
            </w:pPr>
            <w:r>
              <w:rPr>
                <w:rFonts w:hint="eastAsia" w:cs="宋体" w:asciiTheme="minorEastAsia" w:hAnsiTheme="minorEastAsia"/>
                <w:kern w:val="0"/>
                <w:sz w:val="24"/>
                <w:szCs w:val="24"/>
              </w:rPr>
              <w:t>电梯</w:t>
            </w:r>
          </w:p>
        </w:tc>
        <w:tc>
          <w:tcPr>
            <w:tcW w:w="2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cs="宋体" w:asciiTheme="minorEastAsia" w:hAnsiTheme="minorEastAsia"/>
                <w:kern w:val="0"/>
                <w:sz w:val="24"/>
                <w:szCs w:val="24"/>
              </w:rPr>
            </w:pPr>
            <w:r>
              <w:rPr>
                <w:rFonts w:hint="eastAsia" w:cs="宋体" w:asciiTheme="minorEastAsia" w:hAnsiTheme="minorEastAsia"/>
                <w:kern w:val="0"/>
                <w:sz w:val="24"/>
                <w:szCs w:val="24"/>
              </w:rPr>
              <w:t>同一品目单次采购3台（含3台）以下</w:t>
            </w:r>
          </w:p>
        </w:tc>
        <w:tc>
          <w:tcPr>
            <w:tcW w:w="1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EastAsia" w:hAnsiTheme="minorEastAsia"/>
                <w:kern w:val="0"/>
                <w:sz w:val="24"/>
                <w:szCs w:val="24"/>
              </w:rPr>
            </w:pPr>
          </w:p>
        </w:tc>
      </w:tr>
    </w:tbl>
    <w:p>
      <w:pPr>
        <w:widowControl/>
        <w:shd w:val="clear" w:color="auto" w:fill="F8FCFF"/>
        <w:spacing w:before="100" w:beforeAutospacing="1" w:after="100" w:afterAutospacing="1"/>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 </w:t>
      </w:r>
    </w:p>
    <w:p>
      <w:pPr>
        <w:widowControl/>
        <w:shd w:val="clear" w:color="auto" w:fill="F8FCFF"/>
        <w:spacing w:before="100" w:beforeAutospacing="1" w:after="100" w:afterAutospacing="1"/>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注：单次采购是指采购单位按同一品目单次申报的采购计划。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仿宋">
    <w:altName w:val="微软雅黑"/>
    <w:panose1 w:val="02010609060101010101"/>
    <w:charset w:val="86"/>
    <w:family w:val="decorative"/>
    <w:pitch w:val="default"/>
    <w:sig w:usb0="00000000" w:usb1="00000000" w:usb2="00000016" w:usb3="00000000" w:csb0="00040001" w:csb1="00000000"/>
  </w:font>
  <w:font w:name="Tahoma">
    <w:panose1 w:val="020B0604030504040204"/>
    <w:charset w:val="00"/>
    <w:family w:val="roman"/>
    <w:pitch w:val="default"/>
    <w:sig w:usb0="61007A87" w:usb1="80000000" w:usb2="00000008" w:usb3="00000000" w:csb0="200101FF" w:csb1="20280000"/>
  </w:font>
  <w:font w:name="Arial">
    <w:panose1 w:val="020B0604020202020204"/>
    <w:charset w:val="00"/>
    <w:family w:val="roman"/>
    <w:pitch w:val="default"/>
    <w:sig w:usb0="00007A87" w:usb1="80000000" w:usb2="00000008" w:usb3="00000000" w:csb0="400001FF" w:csb1="FFFF0000"/>
  </w:font>
  <w:font w:name="新宋体">
    <w:panose1 w:val="02010609030101010101"/>
    <w:charset w:val="86"/>
    <w:family w:val="decorative"/>
    <w:pitch w:val="default"/>
    <w:sig w:usb0="00000003" w:usb1="080E0000" w:usb2="00000000"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D7E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2016-09-26T01:59:43Z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